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4" w:rsidRDefault="003334E4" w:rsidP="003334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3334E4" w:rsidRDefault="003334E4" w:rsidP="003334E4">
      <w:pPr>
        <w:jc w:val="center"/>
        <w:rPr>
          <w:rFonts w:ascii="Times New Roman" w:hAnsi="Times New Roman"/>
          <w:b/>
          <w:sz w:val="16"/>
        </w:rPr>
      </w:pPr>
    </w:p>
    <w:p w:rsidR="003334E4" w:rsidRDefault="003334E4" w:rsidP="003334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3334E4" w:rsidRDefault="003334E4" w:rsidP="003334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3334E4" w:rsidRDefault="003334E4" w:rsidP="003334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3334E4" w:rsidRDefault="003334E4" w:rsidP="003334E4">
      <w:pPr>
        <w:rPr>
          <w:rFonts w:ascii="Times New Roman" w:hAnsi="Times New Roman"/>
          <w:b/>
          <w:sz w:val="28"/>
        </w:rPr>
      </w:pPr>
    </w:p>
    <w:p w:rsidR="003334E4" w:rsidRDefault="003334E4" w:rsidP="003334E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3334E4" w:rsidRDefault="003334E4" w:rsidP="003334E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334E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3334E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3334E4" w:rsidRDefault="003334E4" w:rsidP="003334E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334E4" w:rsidRDefault="003334E4" w:rsidP="003334E4"/>
    <w:p w:rsidR="003334E4" w:rsidRDefault="003334E4" w:rsidP="003334E4"/>
    <w:p w:rsidR="003334E4" w:rsidRDefault="003334E4" w:rsidP="003334E4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3334E4" w:rsidRDefault="003334E4" w:rsidP="003334E4">
      <w:pPr>
        <w:ind w:left="567"/>
        <w:jc w:val="center"/>
        <w:rPr>
          <w:rFonts w:ascii="Times New Roman" w:hAnsi="Times New Roman"/>
          <w:b/>
        </w:rPr>
      </w:pPr>
    </w:p>
    <w:p w:rsidR="003334E4" w:rsidRDefault="003334E4" w:rsidP="003334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«14» июля 202</w:t>
      </w:r>
      <w:r w:rsidRPr="003334E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г.                                                                                                               № </w:t>
      </w:r>
      <w:r w:rsidRPr="003334E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3334E4" w:rsidRDefault="003334E4" w:rsidP="003334E4">
      <w:pPr>
        <w:jc w:val="both"/>
        <w:rPr>
          <w:rFonts w:ascii="Times New Roman" w:hAnsi="Times New Roman"/>
        </w:rPr>
      </w:pPr>
    </w:p>
    <w:p w:rsidR="003334E4" w:rsidRDefault="003334E4" w:rsidP="003334E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3334E4" w:rsidRDefault="003334E4" w:rsidP="003334E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</w:t>
      </w:r>
    </w:p>
    <w:p w:rsidR="003334E4" w:rsidRDefault="003334E4" w:rsidP="003334E4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 и корректировкой расходной части бюджета в части средств областного и местного бюджетов.</w:t>
      </w:r>
      <w:r>
        <w:t xml:space="preserve"> </w:t>
      </w:r>
    </w:p>
    <w:p w:rsidR="00F60599" w:rsidRPr="00BC648E" w:rsidRDefault="00F60599"/>
    <w:p w:rsidR="00BC648E" w:rsidRDefault="00BC648E" w:rsidP="00BC648E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произведена корректировка доходной и расходной частей бюджета в сторону увеличения на сумму </w:t>
      </w:r>
      <w:r>
        <w:rPr>
          <w:b/>
        </w:rPr>
        <w:t xml:space="preserve">13,5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Увеличены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  <w:proofErr w:type="gramStart"/>
      <w:r>
        <w:t xml:space="preserve">– финансовое обеспечение получения гражданами дошкольного образования в </w:t>
      </w:r>
      <w:r>
        <w:rPr>
          <w:b/>
        </w:rPr>
        <w:t>частных дошкольных образовательных организациях</w:t>
      </w:r>
      <w:r>
        <w:t>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</w:t>
      </w:r>
      <w:proofErr w:type="gramEnd"/>
      <w:r>
        <w:t xml:space="preserve">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 в сумме </w:t>
      </w:r>
      <w:r>
        <w:rPr>
          <w:b/>
        </w:rPr>
        <w:t>2,8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t xml:space="preserve">–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в сумме </w:t>
      </w:r>
      <w:r>
        <w:rPr>
          <w:b/>
        </w:rPr>
        <w:t>0,5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справочно</w:t>
      </w:r>
      <w:proofErr w:type="spellEnd"/>
      <w:r>
        <w:t xml:space="preserve">: </w:t>
      </w:r>
      <w:r>
        <w:rPr>
          <w:i/>
        </w:rPr>
        <w:t xml:space="preserve">план 2023 года – </w:t>
      </w:r>
      <w:r>
        <w:rPr>
          <w:b/>
          <w:i/>
        </w:rPr>
        <w:t xml:space="preserve"> 5,0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>.);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t xml:space="preserve">–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в сумме </w:t>
      </w:r>
      <w:r>
        <w:rPr>
          <w:b/>
        </w:rPr>
        <w:t>0,3</w:t>
      </w:r>
      <w:r>
        <w:t xml:space="preserve"> млн. руб. </w:t>
      </w:r>
      <w:r>
        <w:rPr>
          <w:i/>
        </w:rPr>
        <w:t>(</w:t>
      </w:r>
      <w:proofErr w:type="spellStart"/>
      <w:r>
        <w:rPr>
          <w:i/>
        </w:rPr>
        <w:t>справочно</w:t>
      </w:r>
      <w:proofErr w:type="spellEnd"/>
      <w:r>
        <w:t xml:space="preserve">: </w:t>
      </w:r>
      <w:r>
        <w:rPr>
          <w:i/>
        </w:rPr>
        <w:t xml:space="preserve">всего в 2023 году – </w:t>
      </w:r>
      <w:r>
        <w:rPr>
          <w:b/>
          <w:i/>
        </w:rPr>
        <w:t xml:space="preserve"> 1,0 </w:t>
      </w:r>
      <w:proofErr w:type="spellStart"/>
      <w:r>
        <w:rPr>
          <w:i/>
        </w:rPr>
        <w:t>млн</w:t>
      </w:r>
      <w:proofErr w:type="gramStart"/>
      <w:r>
        <w:rPr>
          <w:i/>
        </w:rPr>
        <w:t>.р</w:t>
      </w:r>
      <w:proofErr w:type="gramEnd"/>
      <w:r>
        <w:rPr>
          <w:i/>
        </w:rPr>
        <w:t>уб</w:t>
      </w:r>
      <w:proofErr w:type="spellEnd"/>
      <w:r>
        <w:rPr>
          <w:i/>
        </w:rPr>
        <w:t>.);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lastRenderedPageBreak/>
        <w:t xml:space="preserve">– создание административных комиссий, уполномоченных рассматривать дела об административных правонарушениях в сфере благоустройства в сумме </w:t>
      </w:r>
      <w:r>
        <w:rPr>
          <w:b/>
        </w:rPr>
        <w:t>0,7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справочно</w:t>
      </w:r>
      <w:proofErr w:type="spellEnd"/>
      <w:r>
        <w:t xml:space="preserve">: </w:t>
      </w:r>
      <w:r>
        <w:rPr>
          <w:i/>
        </w:rPr>
        <w:t xml:space="preserve">план 2023 года – </w:t>
      </w:r>
      <w:r>
        <w:rPr>
          <w:b/>
          <w:i/>
        </w:rPr>
        <w:t xml:space="preserve"> 1,4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>.);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t xml:space="preserve">– устройство спортивных и детских площадок на территории муниципальных общеобразовательных организаций в сумме </w:t>
      </w:r>
      <w:r>
        <w:rPr>
          <w:b/>
        </w:rPr>
        <w:t>13,5</w:t>
      </w:r>
      <w:r>
        <w:t xml:space="preserve"> млн. руб. (</w:t>
      </w: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установка спортивной площадки в МАОУ Ильинская СОШ им. полного кавалера ордена Славы И.И. Сидорова (здание 2) план 2023 года - </w:t>
      </w:r>
      <w:r>
        <w:rPr>
          <w:b/>
          <w:i/>
        </w:rPr>
        <w:t>15,0</w:t>
      </w:r>
      <w:r>
        <w:rPr>
          <w:i/>
        </w:rPr>
        <w:t xml:space="preserve"> </w:t>
      </w:r>
      <w:proofErr w:type="spellStart"/>
      <w:r>
        <w:rPr>
          <w:i/>
        </w:rPr>
        <w:t>млн</w:t>
      </w:r>
      <w:proofErr w:type="gramStart"/>
      <w:r>
        <w:rPr>
          <w:i/>
        </w:rPr>
        <w:t>.р</w:t>
      </w:r>
      <w:proofErr w:type="gramEnd"/>
      <w:r>
        <w:rPr>
          <w:i/>
        </w:rPr>
        <w:t>уб</w:t>
      </w:r>
      <w:proofErr w:type="spellEnd"/>
      <w:r>
        <w:rPr>
          <w:i/>
        </w:rPr>
        <w:t xml:space="preserve">., в том числе за счет средств бюджета Московской области – </w:t>
      </w:r>
      <w:r>
        <w:rPr>
          <w:b/>
          <w:i/>
        </w:rPr>
        <w:t>13,5</w:t>
      </w:r>
      <w:r>
        <w:rPr>
          <w:i/>
        </w:rPr>
        <w:t xml:space="preserve">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 xml:space="preserve">., за счет средств местного бюджета – </w:t>
      </w:r>
      <w:r>
        <w:rPr>
          <w:b/>
          <w:i/>
        </w:rPr>
        <w:t>1,5</w:t>
      </w:r>
      <w:r>
        <w:rPr>
          <w:i/>
        </w:rPr>
        <w:t xml:space="preserve"> млн. руб.);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Уменьшены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в сумме </w:t>
      </w:r>
      <w:r>
        <w:rPr>
          <w:b/>
        </w:rPr>
        <w:t xml:space="preserve">4,3 </w:t>
      </w:r>
      <w:r>
        <w:t>млн. руб. (</w:t>
      </w: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план 2023 года - </w:t>
      </w:r>
      <w:r>
        <w:rPr>
          <w:b/>
          <w:i/>
        </w:rPr>
        <w:t>154,7</w:t>
      </w:r>
      <w:r>
        <w:rPr>
          <w:i/>
        </w:rPr>
        <w:t xml:space="preserve"> млн. руб., в том числе за счет средств бюджета Московской области – </w:t>
      </w:r>
      <w:r>
        <w:rPr>
          <w:b/>
          <w:i/>
        </w:rPr>
        <w:t>43,6</w:t>
      </w:r>
      <w:r>
        <w:rPr>
          <w:i/>
        </w:rPr>
        <w:t xml:space="preserve"> млн. руб., за счет средств местного бюджета – </w:t>
      </w:r>
      <w:r>
        <w:rPr>
          <w:b/>
          <w:i/>
        </w:rPr>
        <w:t>111,1</w:t>
      </w:r>
      <w:r>
        <w:rPr>
          <w:i/>
        </w:rPr>
        <w:t xml:space="preserve"> млн. руб.);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По средствам местного бюджета: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BC648E" w:rsidRDefault="00BC648E" w:rsidP="00BC648E">
      <w:pPr>
        <w:pStyle w:val="a5"/>
        <w:tabs>
          <w:tab w:val="left" w:pos="0"/>
        </w:tabs>
        <w:ind w:firstLine="709"/>
      </w:pPr>
      <w:proofErr w:type="gramStart"/>
      <w:r>
        <w:t xml:space="preserve">–  произведена корректировка доходной и расходной частей бюджета в сторону увеличения по расходам на сумму </w:t>
      </w:r>
      <w:r>
        <w:rPr>
          <w:b/>
        </w:rPr>
        <w:t>31,6</w:t>
      </w:r>
      <w:r>
        <w:t xml:space="preserve"> млн. руб., в том числе за счет увеличения налоговых поступлений (НДФЛ) в сумме </w:t>
      </w:r>
      <w:r>
        <w:rPr>
          <w:b/>
        </w:rPr>
        <w:t>20,1</w:t>
      </w:r>
      <w:r>
        <w:t xml:space="preserve"> млн. руб., прочих безвозмездных поступлений в сумме </w:t>
      </w:r>
      <w:r>
        <w:rPr>
          <w:b/>
        </w:rPr>
        <w:t>6,5</w:t>
      </w:r>
      <w:r>
        <w:t xml:space="preserve"> млн. руб., изменения остатков на </w:t>
      </w:r>
      <w:r>
        <w:rPr>
          <w:b/>
        </w:rPr>
        <w:t>5,0</w:t>
      </w:r>
      <w:r>
        <w:t xml:space="preserve"> млн. руб.;</w:t>
      </w:r>
      <w:proofErr w:type="gramEnd"/>
    </w:p>
    <w:p w:rsidR="00BC648E" w:rsidRDefault="00BC648E" w:rsidP="00BC648E">
      <w:pPr>
        <w:pStyle w:val="a5"/>
        <w:tabs>
          <w:tab w:val="left" w:pos="0"/>
        </w:tabs>
        <w:ind w:firstLine="709"/>
        <w:rPr>
          <w:b/>
        </w:rPr>
      </w:pPr>
      <w:r>
        <w:t xml:space="preserve">– произведено перераспределение средств расходной части бюджета на сумму </w:t>
      </w:r>
      <w:r>
        <w:rPr>
          <w:b/>
        </w:rPr>
        <w:t>24,6</w:t>
      </w:r>
      <w:r>
        <w:t xml:space="preserve"> млн. руб.</w:t>
      </w:r>
    </w:p>
    <w:p w:rsidR="00BC648E" w:rsidRDefault="00BC648E" w:rsidP="00BC648E">
      <w:pPr>
        <w:pStyle w:val="a5"/>
        <w:tabs>
          <w:tab w:val="left" w:pos="0"/>
        </w:tabs>
        <w:rPr>
          <w:b/>
        </w:rPr>
      </w:pPr>
    </w:p>
    <w:p w:rsidR="00BC648E" w:rsidRDefault="00BC648E" w:rsidP="00BC648E">
      <w:pPr>
        <w:pStyle w:val="a5"/>
        <w:tabs>
          <w:tab w:val="left" w:pos="0"/>
        </w:tabs>
        <w:rPr>
          <w:b/>
        </w:rPr>
      </w:pPr>
    </w:p>
    <w:p w:rsidR="00BC648E" w:rsidRDefault="00BC648E" w:rsidP="00BC648E">
      <w:pPr>
        <w:pStyle w:val="a5"/>
        <w:tabs>
          <w:tab w:val="left" w:pos="0"/>
        </w:tabs>
        <w:rPr>
          <w:b/>
        </w:rPr>
      </w:pPr>
      <w:r>
        <w:rPr>
          <w:b/>
        </w:rPr>
        <w:t>В расходную часть бюджета включены новые расходные обязательства на сумму 56,2 млн. руб.:</w:t>
      </w:r>
    </w:p>
    <w:p w:rsidR="00BC648E" w:rsidRDefault="00BC648E" w:rsidP="00BC648E">
      <w:pPr>
        <w:pStyle w:val="a5"/>
        <w:tabs>
          <w:tab w:val="left" w:pos="0"/>
        </w:tabs>
        <w:rPr>
          <w:b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обеспечение мероприятий, проводимых Администрацией городского округа Домодедово, в сумме </w:t>
      </w:r>
      <w:r>
        <w:rPr>
          <w:rFonts w:eastAsia="Calibri"/>
          <w:b/>
          <w:lang w:eastAsia="en-US"/>
        </w:rPr>
        <w:t>2,5</w:t>
      </w:r>
      <w:r>
        <w:rPr>
          <w:rFonts w:eastAsia="Calibri"/>
          <w:lang w:eastAsia="en-US"/>
        </w:rPr>
        <w:t xml:space="preserve"> млн. руб.;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приобретение, установку, настройку и ввод в эксплуатацию сертифицированных средств защиты информации ПАК </w:t>
      </w:r>
      <w:proofErr w:type="spellStart"/>
      <w:r>
        <w:rPr>
          <w:rFonts w:eastAsia="Calibri"/>
          <w:lang w:eastAsia="en-US"/>
        </w:rPr>
        <w:t>VipNet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Coordinator</w:t>
      </w:r>
      <w:proofErr w:type="spellEnd"/>
      <w:r>
        <w:rPr>
          <w:rFonts w:eastAsia="Calibri"/>
          <w:lang w:eastAsia="en-US"/>
        </w:rPr>
        <w:t xml:space="preserve"> HW1000 4.х</w:t>
      </w:r>
      <w:r>
        <w:t xml:space="preserve"> для МБ</w:t>
      </w:r>
      <w:r>
        <w:rPr>
          <w:rFonts w:eastAsia="Calibri"/>
          <w:lang w:eastAsia="en-US"/>
        </w:rPr>
        <w:t>У «МФЦ»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млн. руб.; </w:t>
      </w: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«Национальная безопасность и правоохранительная деятельность»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– реализацию мероприятий по строительству на территории городского округа Домодедово системы технологического обеспечения региональной общественной безопасности и оперативного управления «Безопасный регион» в сумме </w:t>
      </w:r>
      <w:r>
        <w:rPr>
          <w:rFonts w:eastAsia="Calibri"/>
          <w:b/>
          <w:lang w:eastAsia="en-US"/>
        </w:rPr>
        <w:t xml:space="preserve">2,1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.(</w:t>
      </w:r>
      <w:r>
        <w:rPr>
          <w:rFonts w:eastAsia="Calibri"/>
          <w:i/>
          <w:lang w:eastAsia="en-US"/>
        </w:rPr>
        <w:t>оснащение видеонаблюдением подъездов многоквартирных жилых домов);</w:t>
      </w: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«Национальная экономика»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</w:rPr>
      </w:pPr>
      <w:r>
        <w:rPr>
          <w:rFonts w:eastAsia="Calibri"/>
          <w:lang w:eastAsia="en-US"/>
        </w:rPr>
        <w:t>–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в сумме </w:t>
      </w:r>
      <w:r>
        <w:rPr>
          <w:b/>
        </w:rPr>
        <w:t xml:space="preserve">4,3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план 2023 года - </w:t>
      </w:r>
      <w:r>
        <w:rPr>
          <w:b/>
          <w:i/>
        </w:rPr>
        <w:t>154,7</w:t>
      </w:r>
      <w:r>
        <w:rPr>
          <w:i/>
        </w:rPr>
        <w:t xml:space="preserve">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 xml:space="preserve">., в том числе за счет средств бюджета Московской области – </w:t>
      </w:r>
      <w:r>
        <w:rPr>
          <w:b/>
          <w:i/>
        </w:rPr>
        <w:t>43,6</w:t>
      </w:r>
      <w:r>
        <w:rPr>
          <w:i/>
        </w:rPr>
        <w:t xml:space="preserve">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 xml:space="preserve">., за счет средств местного бюджета – </w:t>
      </w:r>
      <w:r>
        <w:rPr>
          <w:b/>
          <w:i/>
        </w:rPr>
        <w:t>111,1</w:t>
      </w:r>
      <w:r>
        <w:rPr>
          <w:i/>
        </w:rPr>
        <w:t xml:space="preserve"> </w:t>
      </w:r>
      <w:proofErr w:type="spellStart"/>
      <w:r>
        <w:rPr>
          <w:i/>
        </w:rPr>
        <w:t>млн.руб</w:t>
      </w:r>
      <w:proofErr w:type="spellEnd"/>
      <w:r>
        <w:rPr>
          <w:i/>
        </w:rPr>
        <w:t>.);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lastRenderedPageBreak/>
        <w:t xml:space="preserve">– установку светофора Т.7 с дополнительным освещением и пешеходного металлического ограждения у СОШ № 2,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r>
        <w:t>в</w:t>
      </w:r>
      <w:proofErr w:type="spellEnd"/>
      <w:r>
        <w:t xml:space="preserve"> сумме </w:t>
      </w:r>
      <w:r>
        <w:rPr>
          <w:b/>
        </w:rPr>
        <w:t xml:space="preserve">0,7 </w:t>
      </w:r>
      <w:proofErr w:type="spellStart"/>
      <w:r>
        <w:t>млн.руб</w:t>
      </w:r>
      <w:proofErr w:type="spellEnd"/>
      <w:r>
        <w:t>.;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</w:p>
    <w:p w:rsidR="00BC648E" w:rsidRDefault="00BC648E" w:rsidP="00BC648E">
      <w:pPr>
        <w:pStyle w:val="a5"/>
        <w:tabs>
          <w:tab w:val="left" w:pos="0"/>
        </w:tabs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 xml:space="preserve">устройство тротуаров и пешеходных переходов, в целях организации безопасности движения пешеходов: у домов №№.14,16 по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>урыжова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мкр.Южный</w:t>
      </w:r>
      <w:proofErr w:type="spellEnd"/>
      <w:r>
        <w:rPr>
          <w:rFonts w:eastAsia="Calibri"/>
          <w:lang w:eastAsia="en-US"/>
        </w:rPr>
        <w:t xml:space="preserve">, по </w:t>
      </w:r>
      <w:proofErr w:type="spellStart"/>
      <w:r>
        <w:rPr>
          <w:rFonts w:eastAsia="Calibri"/>
          <w:lang w:eastAsia="en-US"/>
        </w:rPr>
        <w:t>ул.Школьная</w:t>
      </w:r>
      <w:proofErr w:type="spellEnd"/>
      <w:r>
        <w:rPr>
          <w:rFonts w:eastAsia="Calibri"/>
          <w:lang w:eastAsia="en-US"/>
        </w:rPr>
        <w:t xml:space="preserve"> к </w:t>
      </w:r>
      <w:proofErr w:type="spellStart"/>
      <w:r>
        <w:rPr>
          <w:rFonts w:eastAsia="Calibri"/>
          <w:lang w:eastAsia="en-US"/>
        </w:rPr>
        <w:t>Краснопутьской</w:t>
      </w:r>
      <w:proofErr w:type="spellEnd"/>
      <w:r>
        <w:rPr>
          <w:rFonts w:eastAsia="Calibri"/>
          <w:lang w:eastAsia="en-US"/>
        </w:rPr>
        <w:t xml:space="preserve"> СОШ, </w:t>
      </w:r>
      <w:proofErr w:type="spellStart"/>
      <w:r>
        <w:rPr>
          <w:rFonts w:eastAsia="Calibri"/>
          <w:lang w:eastAsia="en-US"/>
        </w:rPr>
        <w:t>мкр.Барыбино</w:t>
      </w:r>
      <w:proofErr w:type="spellEnd"/>
      <w:r>
        <w:rPr>
          <w:rFonts w:eastAsia="Calibri"/>
          <w:lang w:eastAsia="en-US"/>
        </w:rPr>
        <w:t xml:space="preserve">; на пересечении </w:t>
      </w:r>
      <w:proofErr w:type="spellStart"/>
      <w:r>
        <w:rPr>
          <w:rFonts w:eastAsia="Calibri"/>
          <w:lang w:eastAsia="en-US"/>
        </w:rPr>
        <w:t>ул.Кирова</w:t>
      </w:r>
      <w:proofErr w:type="spellEnd"/>
      <w:r>
        <w:rPr>
          <w:rFonts w:eastAsia="Calibri"/>
          <w:lang w:eastAsia="en-US"/>
        </w:rPr>
        <w:t xml:space="preserve">, д15/1 и Подольского проезда (пешеходный переход) в сумме </w:t>
      </w:r>
      <w:r>
        <w:rPr>
          <w:rFonts w:eastAsia="Calibri"/>
          <w:b/>
          <w:lang w:eastAsia="en-US"/>
        </w:rPr>
        <w:t xml:space="preserve">3,3 </w:t>
      </w:r>
      <w:r>
        <w:rPr>
          <w:rFonts w:eastAsia="Calibri"/>
          <w:lang w:eastAsia="en-US"/>
        </w:rPr>
        <w:t>млн. руб.;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мероприятий по безопасности дорожного движения в сумме </w:t>
      </w:r>
      <w:r>
        <w:rPr>
          <w:rFonts w:eastAsia="Calibri"/>
          <w:b/>
          <w:lang w:eastAsia="en-US"/>
        </w:rPr>
        <w:t>7,0</w:t>
      </w:r>
      <w:r>
        <w:rPr>
          <w:rFonts w:eastAsia="Calibri"/>
          <w:lang w:eastAsia="en-US"/>
        </w:rPr>
        <w:t xml:space="preserve"> млн. руб.; </w:t>
      </w: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замену </w:t>
      </w:r>
      <w:proofErr w:type="spellStart"/>
      <w:r>
        <w:rPr>
          <w:rFonts w:eastAsia="Calibri"/>
          <w:lang w:eastAsia="en-US"/>
        </w:rPr>
        <w:t>неэнергоэффективных</w:t>
      </w:r>
      <w:proofErr w:type="spellEnd"/>
      <w:r>
        <w:rPr>
          <w:rFonts w:eastAsia="Calibri"/>
          <w:lang w:eastAsia="en-US"/>
        </w:rPr>
        <w:t xml:space="preserve"> светильников наружного освещения в </w:t>
      </w:r>
      <w:r>
        <w:t xml:space="preserve">сумме </w:t>
      </w:r>
      <w:r>
        <w:rPr>
          <w:b/>
        </w:rPr>
        <w:t xml:space="preserve">3,0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поставке и установке систем автоматического контроля загазованности бытовой серии с отсечным клапаном (газовые датчики) в сумме </w:t>
      </w:r>
      <w:r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млн. руб.;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предоставление целевой субсидии МУП "Теплосеть» на реконструкцию источника тепловой энергии (котельной) путем строительства </w:t>
      </w:r>
      <w:proofErr w:type="spellStart"/>
      <w:r>
        <w:rPr>
          <w:rFonts w:eastAsia="Calibri"/>
          <w:lang w:eastAsia="en-US"/>
        </w:rPr>
        <w:t>блочно</w:t>
      </w:r>
      <w:proofErr w:type="spellEnd"/>
      <w:r>
        <w:rPr>
          <w:rFonts w:eastAsia="Calibri"/>
          <w:lang w:eastAsia="en-US"/>
        </w:rPr>
        <w:t xml:space="preserve">-модульной котельной  в сумме </w:t>
      </w:r>
      <w:r>
        <w:rPr>
          <w:rFonts w:eastAsia="Calibri"/>
          <w:b/>
          <w:lang w:eastAsia="en-US"/>
        </w:rPr>
        <w:t>5,0</w:t>
      </w:r>
      <w:r>
        <w:rPr>
          <w:rFonts w:eastAsia="Calibri"/>
          <w:lang w:eastAsia="en-US"/>
        </w:rPr>
        <w:t xml:space="preserve"> млн. руб.;</w:t>
      </w:r>
    </w:p>
    <w:p w:rsidR="00BC648E" w:rsidRDefault="00BC648E" w:rsidP="00BC648E">
      <w:pPr>
        <w:pStyle w:val="a5"/>
        <w:tabs>
          <w:tab w:val="left" w:pos="2550"/>
        </w:tabs>
        <w:rPr>
          <w:rFonts w:eastAsia="Calibri"/>
          <w:lang w:eastAsia="en-US"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– увеличение </w:t>
      </w:r>
      <w:proofErr w:type="gramStart"/>
      <w:r>
        <w:rPr>
          <w:rFonts w:eastAsia="Calibri"/>
          <w:lang w:eastAsia="en-US"/>
        </w:rPr>
        <w:t>фонда оплаты труда Управления образования</w:t>
      </w:r>
      <w:proofErr w:type="gramEnd"/>
      <w:r>
        <w:rPr>
          <w:rFonts w:eastAsia="Calibri"/>
          <w:lang w:eastAsia="en-US"/>
        </w:rPr>
        <w:t xml:space="preserve"> в связи с сокращением 5 штатных единиц, 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1,2</w:t>
      </w:r>
      <w:r>
        <w:rPr>
          <w:rFonts w:eastAsia="Calibri"/>
          <w:lang w:eastAsia="en-US"/>
        </w:rPr>
        <w:t xml:space="preserve"> млн. руб.;</w:t>
      </w:r>
    </w:p>
    <w:p w:rsidR="00BC648E" w:rsidRPr="00BC648E" w:rsidRDefault="00BC648E" w:rsidP="00BC648E">
      <w:pPr>
        <w:pStyle w:val="a5"/>
        <w:rPr>
          <w:rFonts w:eastAsia="Calibri"/>
          <w:lang w:val="en-US" w:eastAsia="en-US"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 xml:space="preserve">– устройство </w:t>
      </w:r>
      <w:proofErr w:type="spellStart"/>
      <w:r>
        <w:rPr>
          <w:rFonts w:eastAsia="Calibri"/>
          <w:lang w:eastAsia="en-US"/>
        </w:rPr>
        <w:t>скейт</w:t>
      </w:r>
      <w:proofErr w:type="spellEnd"/>
      <w:r>
        <w:rPr>
          <w:rFonts w:eastAsia="Calibri"/>
          <w:lang w:eastAsia="en-US"/>
        </w:rPr>
        <w:t>-парка  (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альчино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мкр.Барыбино</w:t>
      </w:r>
      <w:proofErr w:type="spellEnd"/>
      <w:r>
        <w:rPr>
          <w:rFonts w:eastAsia="Calibri"/>
          <w:lang w:eastAsia="en-US"/>
        </w:rPr>
        <w:t xml:space="preserve">) в сумме </w:t>
      </w:r>
      <w:r>
        <w:rPr>
          <w:rFonts w:eastAsia="Calibri"/>
          <w:b/>
          <w:lang w:eastAsia="en-US"/>
        </w:rPr>
        <w:t xml:space="preserve">20,1 </w:t>
      </w:r>
      <w:r>
        <w:rPr>
          <w:rFonts w:eastAsia="Calibri"/>
          <w:lang w:eastAsia="en-US"/>
        </w:rPr>
        <w:t>млн. руб.;</w:t>
      </w:r>
    </w:p>
    <w:p w:rsidR="00BC648E" w:rsidRDefault="00BC648E" w:rsidP="00BC648E">
      <w:pPr>
        <w:pStyle w:val="a5"/>
        <w:tabs>
          <w:tab w:val="left" w:pos="0"/>
        </w:tabs>
        <w:ind w:firstLine="709"/>
        <w:rPr>
          <w:i/>
          <w:lang w:val="en-US"/>
        </w:rPr>
      </w:pPr>
      <w:r>
        <w:rPr>
          <w:rFonts w:eastAsia="Calibri"/>
          <w:lang w:eastAsia="en-US"/>
        </w:rPr>
        <w:t xml:space="preserve">– проведение мероприятий культуры и спорта в сумме </w:t>
      </w:r>
      <w:r>
        <w:rPr>
          <w:rFonts w:eastAsia="Calibri"/>
          <w:b/>
          <w:lang w:eastAsia="en-US"/>
        </w:rPr>
        <w:t xml:space="preserve">3,0 </w:t>
      </w:r>
      <w:r>
        <w:rPr>
          <w:rFonts w:eastAsia="Calibri"/>
          <w:lang w:eastAsia="en-US"/>
        </w:rPr>
        <w:t>млн. руб.</w:t>
      </w:r>
      <w:r>
        <w:rPr>
          <w:i/>
        </w:rPr>
        <w:t xml:space="preserve"> (</w:t>
      </w:r>
      <w:proofErr w:type="spellStart"/>
      <w:r>
        <w:rPr>
          <w:i/>
        </w:rPr>
        <w:t>справочно</w:t>
      </w:r>
      <w:proofErr w:type="spellEnd"/>
      <w:r>
        <w:t xml:space="preserve">: </w:t>
      </w:r>
      <w:r>
        <w:rPr>
          <w:i/>
        </w:rPr>
        <w:t xml:space="preserve">план 2023 года – </w:t>
      </w:r>
      <w:r>
        <w:rPr>
          <w:b/>
          <w:i/>
        </w:rPr>
        <w:t xml:space="preserve"> </w:t>
      </w:r>
      <w:r>
        <w:rPr>
          <w:i/>
        </w:rPr>
        <w:t>18,2</w:t>
      </w:r>
      <w:r>
        <w:rPr>
          <w:b/>
          <w:i/>
        </w:rPr>
        <w:t xml:space="preserve"> </w:t>
      </w:r>
      <w:proofErr w:type="spellStart"/>
      <w:r>
        <w:rPr>
          <w:i/>
        </w:rPr>
        <w:t>млн</w:t>
      </w:r>
      <w:proofErr w:type="gramStart"/>
      <w:r>
        <w:rPr>
          <w:i/>
        </w:rPr>
        <w:t>.р</w:t>
      </w:r>
      <w:proofErr w:type="gramEnd"/>
      <w:r>
        <w:rPr>
          <w:i/>
        </w:rPr>
        <w:t>уб</w:t>
      </w:r>
      <w:proofErr w:type="spellEnd"/>
      <w:r>
        <w:rPr>
          <w:i/>
        </w:rPr>
        <w:t>.);</w:t>
      </w:r>
    </w:p>
    <w:p w:rsidR="00BC648E" w:rsidRPr="00BC648E" w:rsidRDefault="00BC648E" w:rsidP="00BC648E">
      <w:pPr>
        <w:pStyle w:val="a5"/>
        <w:tabs>
          <w:tab w:val="left" w:pos="0"/>
        </w:tabs>
        <w:ind w:firstLine="709"/>
        <w:rPr>
          <w:rFonts w:eastAsia="Calibri"/>
          <w:lang w:val="en-US" w:eastAsia="en-US"/>
        </w:rPr>
      </w:pP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«Социальная политика»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BC648E" w:rsidRDefault="00BC648E" w:rsidP="00BC648E">
      <w:pPr>
        <w:pStyle w:val="a5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оказание мер социальной поддержки отдельным категориям граждан в сумме </w:t>
      </w:r>
      <w:r>
        <w:rPr>
          <w:rFonts w:eastAsia="Calibri"/>
          <w:b/>
          <w:lang w:eastAsia="en-US"/>
        </w:rPr>
        <w:t>2,0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</w:t>
      </w:r>
    </w:p>
    <w:p w:rsidR="00BC648E" w:rsidRDefault="00BC648E" w:rsidP="00BC648E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BC648E" w:rsidRDefault="00BC648E" w:rsidP="00BC648E">
      <w:pPr>
        <w:pStyle w:val="a5"/>
        <w:rPr>
          <w:b/>
        </w:rPr>
      </w:pPr>
      <w:r>
        <w:rPr>
          <w:b/>
          <w:sz w:val="26"/>
          <w:szCs w:val="26"/>
        </w:rPr>
        <w:t xml:space="preserve">Расходы уменьшены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</w:rPr>
        <w:t xml:space="preserve">: </w:t>
      </w:r>
    </w:p>
    <w:p w:rsidR="00BC648E" w:rsidRDefault="00BC648E" w:rsidP="00BC648E">
      <w:pPr>
        <w:pStyle w:val="a5"/>
      </w:pP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сумму зарезервированных средств на обеспечение участия в государственных программах Московской области в сумме </w:t>
      </w:r>
      <w:r>
        <w:rPr>
          <w:rFonts w:eastAsia="Calibri"/>
          <w:b/>
          <w:lang w:eastAsia="en-US"/>
        </w:rPr>
        <w:t>0,6</w:t>
      </w:r>
      <w:r>
        <w:rPr>
          <w:rFonts w:eastAsia="Calibri"/>
          <w:lang w:eastAsia="en-US"/>
        </w:rPr>
        <w:t xml:space="preserve"> млн. руб.;</w:t>
      </w:r>
    </w:p>
    <w:p w:rsidR="00BC648E" w:rsidRDefault="00BC648E" w:rsidP="00BC648E">
      <w:pPr>
        <w:pStyle w:val="a5"/>
        <w:rPr>
          <w:rFonts w:eastAsia="Calibri"/>
          <w:lang w:eastAsia="en-US"/>
        </w:rPr>
      </w:pPr>
      <w:r>
        <w:t xml:space="preserve">– обеспечение муниципальных гарантий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24,0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</w:t>
      </w:r>
    </w:p>
    <w:p w:rsidR="00BC648E" w:rsidRDefault="00BC648E" w:rsidP="00BC648E">
      <w:pPr>
        <w:ind w:left="851"/>
        <w:rPr>
          <w:rFonts w:eastAsia="Calibri"/>
          <w:lang w:eastAsia="en-US"/>
        </w:rPr>
      </w:pPr>
    </w:p>
    <w:p w:rsidR="00BC648E" w:rsidRDefault="00BC648E" w:rsidP="00BC648E">
      <w:pPr>
        <w:ind w:left="851"/>
        <w:rPr>
          <w:rFonts w:eastAsia="Calibri"/>
          <w:lang w:eastAsia="en-US"/>
        </w:rPr>
      </w:pPr>
    </w:p>
    <w:p w:rsidR="00BC648E" w:rsidRDefault="00BC648E" w:rsidP="00BC648E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результате данных корректировок бюджет на текущий финансовый год составит:                                                                                                                                         </w:t>
      </w:r>
    </w:p>
    <w:p w:rsidR="00BC648E" w:rsidRDefault="00BC648E" w:rsidP="00BC648E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(млн.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842"/>
      </w:tblGrid>
      <w:tr w:rsidR="00BC648E" w:rsidTr="00BC64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E" w:rsidRDefault="00BC648E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rPr>
                <w:szCs w:val="24"/>
              </w:rPr>
            </w:pPr>
            <w:r>
              <w:t>на 30.05.2023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center"/>
              <w:rPr>
                <w:szCs w:val="24"/>
              </w:rPr>
            </w:pPr>
            <w:r>
              <w:t>на 14.07.2023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BC648E" w:rsidTr="00BC64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szCs w:val="24"/>
              </w:rPr>
            </w:pPr>
            <w:r>
              <w:t>13 241,8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13 281.9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</w:tr>
      <w:tr w:rsidR="00BC648E" w:rsidTr="00BC64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szCs w:val="24"/>
              </w:rPr>
            </w:pPr>
            <w:r>
              <w:t>13 972,4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14 017,5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45,1</w:t>
            </w:r>
          </w:p>
        </w:tc>
      </w:tr>
      <w:tr w:rsidR="00BC648E" w:rsidTr="00BC64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szCs w:val="24"/>
              </w:rPr>
            </w:pPr>
            <w:r>
              <w:t>730,6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E" w:rsidRDefault="00BC648E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</w:tr>
    </w:tbl>
    <w:p w:rsidR="00BC648E" w:rsidRDefault="00BC648E" w:rsidP="00BC648E">
      <w:pPr>
        <w:pStyle w:val="a5"/>
        <w:ind w:firstLine="0"/>
        <w:rPr>
          <w:sz w:val="22"/>
          <w:szCs w:val="22"/>
        </w:rPr>
      </w:pPr>
    </w:p>
    <w:p w:rsidR="00BC648E" w:rsidRDefault="00BC648E" w:rsidP="00BC648E">
      <w:pPr>
        <w:pStyle w:val="a5"/>
        <w:ind w:firstLine="0"/>
        <w:rPr>
          <w:sz w:val="22"/>
          <w:szCs w:val="22"/>
        </w:rPr>
      </w:pPr>
    </w:p>
    <w:p w:rsidR="007B1E60" w:rsidRDefault="007B1E60" w:rsidP="007B1E6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результатам рассмотрения внесенных изменений в решение Совета депутатов  городского округа Домодедово от </w:t>
      </w:r>
      <w:r w:rsidRPr="009526C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Pr="009526C1">
        <w:rPr>
          <w:rFonts w:ascii="Times New Roman" w:hAnsi="Times New Roman"/>
        </w:rPr>
        <w:t>1</w:t>
      </w:r>
      <w:r>
        <w:rPr>
          <w:rFonts w:ascii="Times New Roman" w:hAnsi="Times New Roman"/>
        </w:rPr>
        <w:t>2.202</w:t>
      </w:r>
      <w:r w:rsidRPr="009526C1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№1-4/1296 «О бюджете городского округа Домодедово на 2023 год и плановый период 2024 и 2025 годов»,  нарушений бюджетного законодательства не выявлено.</w:t>
      </w:r>
    </w:p>
    <w:p w:rsidR="007B1E60" w:rsidRDefault="007B1E60" w:rsidP="007B1E60">
      <w:pPr>
        <w:ind w:firstLine="851"/>
        <w:jc w:val="both"/>
        <w:rPr>
          <w:rFonts w:ascii="Times New Roman" w:hAnsi="Times New Roman"/>
        </w:rPr>
      </w:pPr>
    </w:p>
    <w:p w:rsidR="007B1E60" w:rsidRDefault="007B1E60" w:rsidP="007B1E60">
      <w:pPr>
        <w:ind w:firstLine="851"/>
        <w:jc w:val="both"/>
        <w:rPr>
          <w:rFonts w:ascii="Times New Roman" w:hAnsi="Times New Roman"/>
        </w:rPr>
      </w:pPr>
    </w:p>
    <w:p w:rsidR="007B1E60" w:rsidRDefault="007B1E60" w:rsidP="007B1E60">
      <w:pPr>
        <w:ind w:firstLine="851"/>
        <w:jc w:val="both"/>
        <w:rPr>
          <w:rFonts w:ascii="Times New Roman" w:hAnsi="Times New Roman"/>
        </w:rPr>
      </w:pPr>
    </w:p>
    <w:p w:rsidR="007B1E60" w:rsidRDefault="007B1E60" w:rsidP="007B1E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Счетной палаты городского</w:t>
      </w:r>
    </w:p>
    <w:p w:rsidR="007B1E60" w:rsidRPr="009526C1" w:rsidRDefault="007B1E60" w:rsidP="007B1E60">
      <w:pPr>
        <w:jc w:val="both"/>
      </w:pPr>
      <w:r>
        <w:rPr>
          <w:rFonts w:ascii="Times New Roman" w:hAnsi="Times New Roman"/>
        </w:rPr>
        <w:t xml:space="preserve">округа Домодедово Московской области                                                            </w:t>
      </w:r>
      <w:r>
        <w:rPr>
          <w:rFonts w:ascii="Times New Roman" w:hAnsi="Times New Roman"/>
        </w:rPr>
        <w:t>И.В. Якушева</w:t>
      </w:r>
      <w:bookmarkStart w:id="0" w:name="_GoBack"/>
      <w:bookmarkEnd w:id="0"/>
    </w:p>
    <w:p w:rsidR="00BC648E" w:rsidRDefault="00BC648E" w:rsidP="00BC648E">
      <w:pPr>
        <w:pStyle w:val="a5"/>
        <w:ind w:firstLine="0"/>
        <w:rPr>
          <w:sz w:val="22"/>
          <w:szCs w:val="22"/>
        </w:rPr>
      </w:pPr>
    </w:p>
    <w:p w:rsidR="00BC648E" w:rsidRPr="00BC648E" w:rsidRDefault="00BC648E"/>
    <w:sectPr w:rsidR="00BC648E" w:rsidRPr="00B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4"/>
    <w:rsid w:val="003334E4"/>
    <w:rsid w:val="007B1E60"/>
    <w:rsid w:val="00BC648E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E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BC648E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BC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E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BC648E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BC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2023-07-13T08:58:00Z</dcterms:created>
  <dcterms:modified xsi:type="dcterms:W3CDTF">2023-07-13T09:07:00Z</dcterms:modified>
</cp:coreProperties>
</file>